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BC" w:rsidRDefault="00A24CFE">
      <w:pPr>
        <w:pStyle w:val="Standard"/>
        <w:spacing w:line="500" w:lineRule="exact"/>
        <w:jc w:val="center"/>
        <w:rPr>
          <w:rFonts w:ascii="標楷體" w:eastAsia="標楷體" w:hAnsi="標楷體"/>
          <w:color w:val="000000"/>
          <w:sz w:val="32"/>
          <w:szCs w:val="32"/>
        </w:rPr>
      </w:pPr>
      <w:bookmarkStart w:id="0" w:name="_GoBack"/>
      <w:bookmarkEnd w:id="0"/>
      <w:r>
        <w:rPr>
          <w:rFonts w:ascii="標楷體" w:eastAsia="標楷體" w:hAnsi="標楷體"/>
          <w:color w:val="000000"/>
          <w:sz w:val="32"/>
          <w:szCs w:val="32"/>
        </w:rPr>
        <w:t>教育部國民及學前教育署補助高級中等以下學校原住民優秀學生獎學金要點</w:t>
      </w:r>
    </w:p>
    <w:p w:rsidR="00B351BC" w:rsidRDefault="00A24CFE">
      <w:pPr>
        <w:pStyle w:val="Standard"/>
        <w:spacing w:line="500" w:lineRule="exact"/>
        <w:jc w:val="right"/>
        <w:rPr>
          <w:rFonts w:ascii="標楷體" w:eastAsia="標楷體" w:hAnsi="標楷體"/>
          <w:color w:val="000000"/>
          <w:sz w:val="20"/>
          <w:szCs w:val="20"/>
        </w:rPr>
      </w:pPr>
      <w:r>
        <w:rPr>
          <w:rFonts w:ascii="標楷體" w:eastAsia="標楷體" w:hAnsi="標楷體"/>
          <w:color w:val="000000"/>
          <w:sz w:val="20"/>
          <w:szCs w:val="20"/>
        </w:rPr>
        <w:t>中華民國</w:t>
      </w:r>
      <w:r>
        <w:rPr>
          <w:rFonts w:ascii="標楷體" w:eastAsia="標楷體" w:hAnsi="標楷體"/>
          <w:color w:val="000000"/>
          <w:sz w:val="20"/>
          <w:szCs w:val="20"/>
        </w:rPr>
        <w:t>107</w:t>
      </w:r>
      <w:r>
        <w:rPr>
          <w:rFonts w:ascii="標楷體" w:eastAsia="標楷體" w:hAnsi="標楷體"/>
          <w:color w:val="000000"/>
          <w:sz w:val="20"/>
          <w:szCs w:val="20"/>
        </w:rPr>
        <w:t>年</w:t>
      </w:r>
      <w:r>
        <w:rPr>
          <w:rFonts w:ascii="標楷體" w:eastAsia="標楷體" w:hAnsi="標楷體"/>
          <w:color w:val="000000"/>
          <w:sz w:val="20"/>
          <w:szCs w:val="20"/>
        </w:rPr>
        <w:t>5</w:t>
      </w:r>
      <w:r>
        <w:rPr>
          <w:rFonts w:ascii="標楷體" w:eastAsia="標楷體" w:hAnsi="標楷體"/>
          <w:color w:val="000000"/>
          <w:sz w:val="20"/>
          <w:szCs w:val="20"/>
        </w:rPr>
        <w:t>月</w:t>
      </w:r>
      <w:r>
        <w:rPr>
          <w:rFonts w:ascii="標楷體" w:eastAsia="標楷體" w:hAnsi="標楷體"/>
          <w:color w:val="000000"/>
          <w:sz w:val="20"/>
          <w:szCs w:val="20"/>
        </w:rPr>
        <w:t>11</w:t>
      </w:r>
      <w:r>
        <w:rPr>
          <w:rFonts w:ascii="標楷體" w:eastAsia="標楷體" w:hAnsi="標楷體"/>
          <w:color w:val="000000"/>
          <w:sz w:val="20"/>
          <w:szCs w:val="20"/>
        </w:rPr>
        <w:t>日臺教國署原字第</w:t>
      </w:r>
      <w:r>
        <w:rPr>
          <w:rFonts w:ascii="標楷體" w:eastAsia="標楷體" w:hAnsi="標楷體"/>
          <w:color w:val="000000"/>
          <w:sz w:val="20"/>
          <w:szCs w:val="20"/>
        </w:rPr>
        <w:t>1070044110B</w:t>
      </w:r>
      <w:r>
        <w:rPr>
          <w:rFonts w:ascii="標楷體" w:eastAsia="標楷體" w:hAnsi="標楷體"/>
          <w:color w:val="000000"/>
          <w:sz w:val="20"/>
          <w:szCs w:val="20"/>
        </w:rPr>
        <w:t>號令訂定發布</w:t>
      </w:r>
    </w:p>
    <w:p w:rsidR="00B351BC" w:rsidRDefault="00A24CFE">
      <w:pPr>
        <w:pStyle w:val="0221"/>
        <w:numPr>
          <w:ilvl w:val="0"/>
          <w:numId w:val="15"/>
        </w:numPr>
        <w:snapToGrid w:val="0"/>
        <w:spacing w:before="0" w:after="0" w:line="360" w:lineRule="exact"/>
        <w:ind w:left="567" w:hanging="567"/>
        <w:rPr>
          <w:rFonts w:ascii="標楷體" w:eastAsia="標楷體" w:hAnsi="標楷體" w:cs="Times New Roman"/>
          <w:color w:val="000000"/>
        </w:rPr>
      </w:pPr>
      <w:r>
        <w:rPr>
          <w:rFonts w:ascii="標楷體" w:eastAsia="標楷體" w:hAnsi="標楷體" w:cs="Times New Roman"/>
          <w:color w:val="000000"/>
        </w:rPr>
        <w:t>教育部國民及學前教育署</w:t>
      </w:r>
      <w:r>
        <w:rPr>
          <w:rFonts w:ascii="標楷體" w:eastAsia="標楷體" w:hAnsi="標楷體" w:cs="Times New Roman"/>
          <w:color w:val="000000"/>
        </w:rPr>
        <w:t>(</w:t>
      </w:r>
      <w:r>
        <w:rPr>
          <w:rFonts w:ascii="標楷體" w:eastAsia="標楷體" w:hAnsi="標楷體" w:cs="Times New Roman"/>
          <w:color w:val="000000"/>
        </w:rPr>
        <w:t>以下簡稱本署</w:t>
      </w:r>
      <w:r>
        <w:rPr>
          <w:rFonts w:ascii="標楷體" w:eastAsia="標楷體" w:hAnsi="標楷體" w:cs="Times New Roman"/>
          <w:color w:val="000000"/>
        </w:rPr>
        <w:t>)</w:t>
      </w:r>
      <w:r>
        <w:rPr>
          <w:rFonts w:ascii="標楷體" w:eastAsia="標楷體" w:hAnsi="標楷體" w:cs="Times New Roman"/>
          <w:color w:val="000000"/>
        </w:rPr>
        <w:t>為獎勵</w:t>
      </w:r>
      <w:bookmarkStart w:id="1" w:name="OLE_LINK3"/>
      <w:bookmarkStart w:id="2" w:name="OLE_LINK2"/>
      <w:bookmarkStart w:id="3" w:name="OLE_LINK1"/>
      <w:r>
        <w:rPr>
          <w:rFonts w:ascii="標楷體" w:eastAsia="標楷體" w:hAnsi="標楷體" w:cs="Times New Roman"/>
          <w:color w:val="000000"/>
        </w:rPr>
        <w:t>高級中等以下</w:t>
      </w:r>
      <w:bookmarkEnd w:id="1"/>
      <w:bookmarkEnd w:id="2"/>
      <w:bookmarkEnd w:id="3"/>
      <w:r>
        <w:rPr>
          <w:rFonts w:ascii="標楷體" w:eastAsia="標楷體" w:hAnsi="標楷體" w:cs="Times New Roman"/>
          <w:color w:val="000000"/>
        </w:rPr>
        <w:t>學校（含國民小學、國民中學、高級中等學校）優秀原住民學生（以下簡稱學生）持續努力向學，發展特殊才藝表現，特訂定本要點。</w:t>
      </w:r>
    </w:p>
    <w:p w:rsidR="00B351BC" w:rsidRDefault="00A24CFE">
      <w:pPr>
        <w:pStyle w:val="0221"/>
        <w:snapToGrid w:val="0"/>
        <w:spacing w:before="0" w:after="0" w:line="360" w:lineRule="exact"/>
        <w:ind w:left="540" w:hanging="540"/>
        <w:rPr>
          <w:rFonts w:ascii="標楷體" w:eastAsia="標楷體" w:hAnsi="標楷體" w:cs="Times New Roman"/>
          <w:color w:val="000000"/>
        </w:rPr>
      </w:pPr>
      <w:r>
        <w:rPr>
          <w:rFonts w:ascii="標楷體" w:eastAsia="標楷體" w:hAnsi="標楷體" w:cs="Times New Roman"/>
          <w:color w:val="000000"/>
        </w:rPr>
        <w:t>二、申請本要點獎學金之學生須符合以下資格：</w:t>
      </w:r>
    </w:p>
    <w:p w:rsidR="00B351BC" w:rsidRDefault="00A24CFE">
      <w:pPr>
        <w:pStyle w:val="0221"/>
        <w:snapToGrid w:val="0"/>
        <w:spacing w:before="0" w:after="0" w:line="360" w:lineRule="exact"/>
        <w:ind w:left="540" w:hanging="60"/>
        <w:rPr>
          <w:rFonts w:ascii="標楷體" w:eastAsia="標楷體" w:hAnsi="標楷體" w:cs="Times New Roman"/>
          <w:color w:val="000000"/>
        </w:rPr>
      </w:pPr>
      <w:r>
        <w:rPr>
          <w:rFonts w:ascii="標楷體" w:eastAsia="標楷體" w:hAnsi="標楷體" w:cs="Times New Roman"/>
          <w:color w:val="000000"/>
        </w:rPr>
        <w:t>（一）就讀高級中等以下學校具原住民身分學生。</w:t>
      </w:r>
    </w:p>
    <w:p w:rsidR="00B351BC" w:rsidRDefault="00A24CFE">
      <w:pPr>
        <w:pStyle w:val="0221"/>
        <w:snapToGrid w:val="0"/>
        <w:spacing w:before="0" w:after="0" w:line="360" w:lineRule="exact"/>
        <w:ind w:left="1214" w:hanging="739"/>
      </w:pPr>
      <w:r>
        <w:rPr>
          <w:rFonts w:ascii="標楷體" w:eastAsia="標楷體" w:hAnsi="標楷體" w:cs="Times New Roman"/>
          <w:color w:val="000000"/>
        </w:rPr>
        <w:t>（二）</w:t>
      </w:r>
      <w:r>
        <w:rPr>
          <w:rFonts w:ascii="標楷體" w:eastAsia="標楷體" w:hAnsi="標楷體" w:cs="細明體"/>
          <w:color w:val="000000"/>
        </w:rPr>
        <w:t>未領有其他政府機關及公營事業單位之原住民學生獎學金者。</w:t>
      </w:r>
    </w:p>
    <w:p w:rsidR="00B351BC" w:rsidRDefault="00A24CFE">
      <w:pPr>
        <w:pStyle w:val="0221"/>
        <w:snapToGrid w:val="0"/>
        <w:spacing w:before="0" w:after="0" w:line="360" w:lineRule="exact"/>
        <w:ind w:left="1214" w:hanging="739"/>
      </w:pPr>
      <w:r>
        <w:rPr>
          <w:rFonts w:ascii="標楷體" w:eastAsia="標楷體" w:hAnsi="標楷體" w:cs="細明體"/>
          <w:color w:val="000000"/>
        </w:rPr>
        <w:t>（三）</w:t>
      </w:r>
      <w:r>
        <w:rPr>
          <w:rFonts w:ascii="標楷體" w:eastAsia="標楷體" w:hAnsi="標楷體" w:cs="Times New Roman"/>
          <w:color w:val="000000"/>
        </w:rPr>
        <w:t>於前一學期改過銷過後，無小過以上之處分者。</w:t>
      </w:r>
    </w:p>
    <w:p w:rsidR="00B351BC" w:rsidRDefault="00A24CFE">
      <w:pPr>
        <w:pStyle w:val="0221"/>
        <w:snapToGrid w:val="0"/>
        <w:spacing w:before="0" w:after="0" w:line="360" w:lineRule="exact"/>
        <w:ind w:left="504" w:hanging="504"/>
        <w:rPr>
          <w:rFonts w:ascii="標楷體" w:eastAsia="標楷體" w:hAnsi="標楷體" w:cs="Times New Roman"/>
          <w:color w:val="000000"/>
        </w:rPr>
      </w:pPr>
      <w:r>
        <w:rPr>
          <w:rFonts w:ascii="標楷體" w:eastAsia="標楷體" w:hAnsi="標楷體" w:cs="Times New Roman"/>
          <w:color w:val="000000"/>
        </w:rPr>
        <w:t>三、優秀學生獎學金補助項目及基準：</w:t>
      </w:r>
    </w:p>
    <w:p w:rsidR="00B351BC" w:rsidRDefault="00A24CFE">
      <w:pPr>
        <w:pStyle w:val="0221"/>
        <w:snapToGrid w:val="0"/>
        <w:spacing w:before="0" w:after="0" w:line="360" w:lineRule="exact"/>
        <w:ind w:left="996" w:hanging="506"/>
        <w:rPr>
          <w:rFonts w:ascii="標楷體" w:eastAsia="標楷體" w:hAnsi="標楷體" w:cs="Times New Roman"/>
          <w:color w:val="000000"/>
        </w:rPr>
      </w:pPr>
      <w:r>
        <w:rPr>
          <w:rFonts w:ascii="標楷體" w:eastAsia="標楷體" w:hAnsi="標楷體" w:cs="Times New Roman"/>
          <w:color w:val="000000"/>
        </w:rPr>
        <w:t>（一）學業優秀獎學金：</w:t>
      </w:r>
    </w:p>
    <w:p w:rsidR="00B351BC" w:rsidRDefault="00A24CFE">
      <w:pPr>
        <w:pStyle w:val="0221"/>
        <w:numPr>
          <w:ilvl w:val="0"/>
          <w:numId w:val="16"/>
        </w:numPr>
        <w:snapToGrid w:val="0"/>
        <w:spacing w:before="0" w:after="0" w:line="360" w:lineRule="exact"/>
        <w:ind w:left="1587" w:hanging="397"/>
        <w:rPr>
          <w:rFonts w:ascii="標楷體" w:eastAsia="標楷體" w:hAnsi="標楷體" w:cs="Times New Roman"/>
          <w:color w:val="000000"/>
        </w:rPr>
      </w:pPr>
      <w:r>
        <w:rPr>
          <w:rFonts w:ascii="標楷體" w:eastAsia="標楷體" w:hAnsi="標楷體" w:cs="Times New Roman"/>
          <w:color w:val="000000"/>
        </w:rPr>
        <w:t>各級學校獎勵基準如下：</w:t>
      </w:r>
    </w:p>
    <w:p w:rsidR="00B351BC" w:rsidRDefault="00A24CFE">
      <w:pPr>
        <w:pStyle w:val="0221"/>
        <w:numPr>
          <w:ilvl w:val="0"/>
          <w:numId w:val="17"/>
        </w:numPr>
        <w:snapToGrid w:val="0"/>
        <w:spacing w:before="0" w:after="0" w:line="360" w:lineRule="exact"/>
      </w:pPr>
      <w:r>
        <w:rPr>
          <w:rFonts w:ascii="標楷體" w:eastAsia="標楷體" w:hAnsi="標楷體" w:cs="Times New Roman"/>
          <w:color w:val="000000"/>
        </w:rPr>
        <w:t>就讀高級中等學校高中階段學生：前一學期學業或智育成績總平均達同年級、同年級同科（組）或學程之</w:t>
      </w:r>
      <w:r>
        <w:rPr>
          <w:rFonts w:ascii="標楷體" w:eastAsia="標楷體" w:hAnsi="標楷體" w:cs="Times New Roman"/>
          <w:color w:val="000000"/>
        </w:rPr>
        <w:t>PR70</w:t>
      </w:r>
      <w:r>
        <w:rPr>
          <w:rFonts w:ascii="標楷體" w:eastAsia="標楷體" w:hAnsi="標楷體" w:cs="Times New Roman"/>
          <w:color w:val="000000"/>
        </w:rPr>
        <w:t>以上</w:t>
      </w:r>
      <w:bookmarkStart w:id="4" w:name="OLE_LINK22"/>
      <w:bookmarkStart w:id="5" w:name="OLE_LINK21"/>
      <w:r>
        <w:rPr>
          <w:rFonts w:ascii="標楷體" w:eastAsia="標楷體" w:hAnsi="標楷體" w:cs="Times New Roman"/>
          <w:color w:val="000000"/>
        </w:rPr>
        <w:t>，</w:t>
      </w:r>
      <w:bookmarkStart w:id="6" w:name="OLE_LINK20"/>
      <w:bookmarkStart w:id="7" w:name="OLE_LINK19"/>
      <w:r>
        <w:rPr>
          <w:rFonts w:ascii="標楷體" w:eastAsia="標楷體" w:hAnsi="標楷體" w:cs="Times New Roman"/>
          <w:color w:val="000000"/>
        </w:rPr>
        <w:t>且無任何一科不及格者。</w:t>
      </w:r>
      <w:bookmarkEnd w:id="4"/>
      <w:bookmarkEnd w:id="5"/>
      <w:bookmarkEnd w:id="6"/>
      <w:bookmarkEnd w:id="7"/>
    </w:p>
    <w:p w:rsidR="00B351BC" w:rsidRDefault="00A24CFE">
      <w:pPr>
        <w:pStyle w:val="0221"/>
        <w:numPr>
          <w:ilvl w:val="0"/>
          <w:numId w:val="3"/>
        </w:numPr>
        <w:snapToGrid w:val="0"/>
        <w:spacing w:before="0" w:after="0" w:line="360" w:lineRule="exact"/>
        <w:ind w:left="1890" w:hanging="630"/>
        <w:rPr>
          <w:rFonts w:ascii="標楷體" w:eastAsia="標楷體" w:hAnsi="標楷體" w:cs="Times New Roman"/>
          <w:color w:val="000000"/>
        </w:rPr>
      </w:pPr>
      <w:r>
        <w:rPr>
          <w:rFonts w:ascii="標楷體" w:eastAsia="標楷體" w:hAnsi="標楷體" w:cs="Times New Roman"/>
          <w:color w:val="000000"/>
        </w:rPr>
        <w:t>就讀國民中學階段學生：前一學期各學習領域成績達乙等以上，且無任何一科不及格者。</w:t>
      </w:r>
    </w:p>
    <w:p w:rsidR="00B351BC" w:rsidRDefault="00A24CFE">
      <w:pPr>
        <w:pStyle w:val="0221"/>
        <w:numPr>
          <w:ilvl w:val="0"/>
          <w:numId w:val="3"/>
        </w:numPr>
        <w:snapToGrid w:val="0"/>
        <w:spacing w:before="0" w:after="0" w:line="360" w:lineRule="exact"/>
        <w:ind w:left="1890" w:hanging="630"/>
        <w:rPr>
          <w:rFonts w:ascii="標楷體" w:eastAsia="標楷體" w:hAnsi="標楷體" w:cs="Times New Roman"/>
          <w:color w:val="000000"/>
        </w:rPr>
      </w:pPr>
      <w:r>
        <w:rPr>
          <w:rFonts w:ascii="標楷體" w:eastAsia="標楷體" w:hAnsi="標楷體" w:cs="Times New Roman"/>
          <w:color w:val="000000"/>
        </w:rPr>
        <w:t>就讀國民小學階段學生：前一學期各學習領域成績甲等以上，且無任何一科不及格者。</w:t>
      </w:r>
      <w:bookmarkStart w:id="8" w:name="OLE_LINK4"/>
      <w:bookmarkStart w:id="9" w:name="OLE_LINK5"/>
      <w:bookmarkEnd w:id="8"/>
      <w:bookmarkEnd w:id="9"/>
    </w:p>
    <w:p w:rsidR="00B351BC" w:rsidRDefault="00A24CFE">
      <w:pPr>
        <w:pStyle w:val="0221"/>
        <w:snapToGrid w:val="0"/>
        <w:spacing w:before="0" w:after="0" w:line="360" w:lineRule="exact"/>
        <w:ind w:left="1440" w:hanging="240"/>
        <w:rPr>
          <w:rFonts w:ascii="標楷體" w:eastAsia="標楷體" w:hAnsi="標楷體" w:cs="Times New Roman"/>
          <w:color w:val="000000"/>
        </w:rPr>
      </w:pPr>
      <w:r>
        <w:rPr>
          <w:rFonts w:ascii="標楷體" w:eastAsia="標楷體" w:hAnsi="標楷體" w:cs="Times New Roman"/>
          <w:color w:val="000000"/>
        </w:rPr>
        <w:t>2</w:t>
      </w:r>
      <w:r>
        <w:rPr>
          <w:rFonts w:ascii="標楷體" w:eastAsia="標楷體" w:hAnsi="標楷體" w:cs="Times New Roman"/>
          <w:color w:val="000000"/>
        </w:rPr>
        <w:t>、符合以上資格之學生得申請獎學金，各階段獎學金金額如下：</w:t>
      </w:r>
    </w:p>
    <w:p w:rsidR="00B351BC" w:rsidRDefault="00A24CFE">
      <w:pPr>
        <w:pStyle w:val="0221"/>
        <w:numPr>
          <w:ilvl w:val="0"/>
          <w:numId w:val="18"/>
        </w:numPr>
        <w:snapToGrid w:val="0"/>
        <w:spacing w:before="0" w:after="0" w:line="360" w:lineRule="exact"/>
        <w:ind w:left="1843" w:hanging="567"/>
        <w:rPr>
          <w:rFonts w:ascii="標楷體" w:eastAsia="標楷體" w:hAnsi="標楷體" w:cs="Times New Roman"/>
          <w:color w:val="000000"/>
        </w:rPr>
      </w:pPr>
      <w:r>
        <w:rPr>
          <w:rFonts w:ascii="標楷體" w:eastAsia="標楷體" w:hAnsi="標楷體" w:cs="Times New Roman"/>
          <w:color w:val="000000"/>
        </w:rPr>
        <w:t>高級中等學校高中階段每人每學期新臺幣</w:t>
      </w:r>
      <w:r>
        <w:rPr>
          <w:rFonts w:ascii="標楷體" w:eastAsia="標楷體" w:hAnsi="標楷體" w:cs="Times New Roman"/>
          <w:color w:val="000000"/>
        </w:rPr>
        <w:t>5,000</w:t>
      </w:r>
      <w:r>
        <w:rPr>
          <w:rFonts w:ascii="標楷體" w:eastAsia="標楷體" w:hAnsi="標楷體" w:cs="Times New Roman"/>
          <w:color w:val="000000"/>
        </w:rPr>
        <w:t>元。</w:t>
      </w:r>
    </w:p>
    <w:p w:rsidR="00B351BC" w:rsidRDefault="00A24CFE">
      <w:pPr>
        <w:pStyle w:val="0221"/>
        <w:numPr>
          <w:ilvl w:val="0"/>
          <w:numId w:val="5"/>
        </w:numPr>
        <w:snapToGrid w:val="0"/>
        <w:spacing w:before="0" w:after="0" w:line="360" w:lineRule="exact"/>
        <w:ind w:left="1890" w:hanging="630"/>
        <w:rPr>
          <w:rFonts w:ascii="標楷體" w:eastAsia="標楷體" w:hAnsi="標楷體" w:cs="Times New Roman"/>
          <w:color w:val="000000"/>
        </w:rPr>
      </w:pPr>
      <w:r>
        <w:rPr>
          <w:rFonts w:ascii="標楷體" w:eastAsia="標楷體" w:hAnsi="標楷體" w:cs="Times New Roman"/>
          <w:color w:val="000000"/>
        </w:rPr>
        <w:t>國民中學階段每人每學期新臺幣</w:t>
      </w:r>
      <w:r>
        <w:rPr>
          <w:rFonts w:ascii="標楷體" w:eastAsia="標楷體" w:hAnsi="標楷體" w:cs="Times New Roman"/>
          <w:color w:val="000000"/>
        </w:rPr>
        <w:t>3,000</w:t>
      </w:r>
      <w:r>
        <w:rPr>
          <w:rFonts w:ascii="標楷體" w:eastAsia="標楷體" w:hAnsi="標楷體" w:cs="Times New Roman"/>
          <w:color w:val="000000"/>
        </w:rPr>
        <w:t>元。</w:t>
      </w:r>
    </w:p>
    <w:p w:rsidR="00B351BC" w:rsidRDefault="00A24CFE">
      <w:pPr>
        <w:pStyle w:val="0221"/>
        <w:numPr>
          <w:ilvl w:val="0"/>
          <w:numId w:val="5"/>
        </w:numPr>
        <w:snapToGrid w:val="0"/>
        <w:spacing w:before="0" w:after="0" w:line="360" w:lineRule="exact"/>
        <w:ind w:left="1890" w:hanging="630"/>
        <w:rPr>
          <w:rFonts w:ascii="標楷體" w:eastAsia="標楷體" w:hAnsi="標楷體" w:cs="Times New Roman"/>
          <w:color w:val="000000"/>
        </w:rPr>
      </w:pPr>
      <w:r>
        <w:rPr>
          <w:rFonts w:ascii="標楷體" w:eastAsia="標楷體" w:hAnsi="標楷體" w:cs="Times New Roman"/>
          <w:color w:val="000000"/>
        </w:rPr>
        <w:t>國民小學階段每人每學期新臺幣</w:t>
      </w:r>
      <w:r>
        <w:rPr>
          <w:rFonts w:ascii="標楷體" w:eastAsia="標楷體" w:hAnsi="標楷體" w:cs="Times New Roman"/>
          <w:color w:val="000000"/>
        </w:rPr>
        <w:t>2,000</w:t>
      </w:r>
      <w:r>
        <w:rPr>
          <w:rFonts w:ascii="標楷體" w:eastAsia="標楷體" w:hAnsi="標楷體" w:cs="Times New Roman"/>
          <w:color w:val="000000"/>
        </w:rPr>
        <w:t>元。</w:t>
      </w:r>
      <w:bookmarkStart w:id="10" w:name="OLE_LINK26"/>
      <w:bookmarkStart w:id="11" w:name="OLE_LINK27"/>
      <w:bookmarkEnd w:id="10"/>
      <w:bookmarkEnd w:id="11"/>
    </w:p>
    <w:p w:rsidR="00B351BC" w:rsidRDefault="00A24CFE">
      <w:pPr>
        <w:pStyle w:val="0221"/>
        <w:snapToGrid w:val="0"/>
        <w:spacing w:before="0" w:after="0" w:line="360" w:lineRule="exact"/>
        <w:ind w:left="1359" w:hanging="766"/>
        <w:rPr>
          <w:rFonts w:ascii="標楷體" w:eastAsia="標楷體" w:hAnsi="標楷體" w:cs="Times New Roman"/>
          <w:color w:val="000000"/>
        </w:rPr>
      </w:pPr>
      <w:r>
        <w:rPr>
          <w:rFonts w:ascii="標楷體" w:eastAsia="標楷體" w:hAnsi="標楷體" w:cs="Times New Roman"/>
          <w:color w:val="000000"/>
        </w:rPr>
        <w:t>（二）個人單項才藝優秀獎學金：</w:t>
      </w:r>
    </w:p>
    <w:p w:rsidR="00B351BC" w:rsidRDefault="00A24CFE">
      <w:pPr>
        <w:pStyle w:val="0221"/>
        <w:snapToGrid w:val="0"/>
        <w:spacing w:before="0" w:after="0" w:line="360" w:lineRule="exact"/>
        <w:ind w:left="1497" w:hanging="1070"/>
        <w:rPr>
          <w:rFonts w:ascii="標楷體" w:eastAsia="標楷體" w:hAnsi="標楷體" w:cs="Times New Roman"/>
          <w:color w:val="000000"/>
        </w:rPr>
      </w:pPr>
      <w:r>
        <w:rPr>
          <w:rFonts w:ascii="標楷體" w:eastAsia="標楷體" w:hAnsi="標楷體" w:cs="Times New Roman"/>
          <w:color w:val="000000"/>
        </w:rPr>
        <w:t xml:space="preserve">      1</w:t>
      </w:r>
      <w:r>
        <w:rPr>
          <w:rFonts w:ascii="標楷體" w:eastAsia="標楷體" w:hAnsi="標楷體" w:cs="Times New Roman"/>
          <w:color w:val="000000"/>
        </w:rPr>
        <w:t>、具有特殊才藝（語文、科學競賽、創意競賽、音樂、美術、舞蹈、體育、技藝等），近一年內參加教育部</w:t>
      </w:r>
      <w:r>
        <w:rPr>
          <w:rFonts w:ascii="標楷體" w:eastAsia="標楷體" w:hAnsi="標楷體" w:cs="Times New Roman"/>
          <w:color w:val="000000"/>
        </w:rPr>
        <w:t>(</w:t>
      </w:r>
      <w:r>
        <w:rPr>
          <w:rFonts w:ascii="標楷體" w:eastAsia="標楷體" w:hAnsi="標楷體" w:cs="Times New Roman"/>
          <w:color w:val="000000"/>
        </w:rPr>
        <w:t>含各司處</w:t>
      </w:r>
      <w:r>
        <w:rPr>
          <w:rFonts w:ascii="標楷體" w:eastAsia="標楷體" w:hAnsi="標楷體" w:cs="Times New Roman"/>
          <w:color w:val="000000"/>
        </w:rPr>
        <w:t>)</w:t>
      </w:r>
      <w:r>
        <w:rPr>
          <w:rFonts w:ascii="標楷體" w:eastAsia="標楷體" w:hAnsi="標楷體" w:cs="Times New Roman"/>
          <w:color w:val="000000"/>
        </w:rPr>
        <w:t>或本署辦理之全國性個人才藝競賽獲獎者。</w:t>
      </w:r>
    </w:p>
    <w:p w:rsidR="00B351BC" w:rsidRDefault="00A24CFE">
      <w:pPr>
        <w:pStyle w:val="0221"/>
        <w:snapToGrid w:val="0"/>
        <w:spacing w:before="0" w:after="0" w:line="360" w:lineRule="exact"/>
        <w:ind w:left="1538" w:hanging="391"/>
        <w:rPr>
          <w:rFonts w:ascii="標楷體" w:eastAsia="標楷體" w:hAnsi="標楷體" w:cs="Times New Roman"/>
          <w:color w:val="000000"/>
        </w:rPr>
      </w:pPr>
      <w:r>
        <w:rPr>
          <w:rFonts w:ascii="標楷體" w:eastAsia="標楷體" w:hAnsi="標楷體" w:cs="Times New Roman"/>
          <w:color w:val="000000"/>
        </w:rPr>
        <w:t>2</w:t>
      </w:r>
      <w:r>
        <w:rPr>
          <w:rFonts w:ascii="標楷體" w:eastAsia="標楷體" w:hAnsi="標楷體" w:cs="Times New Roman"/>
          <w:color w:val="000000"/>
        </w:rPr>
        <w:t>、符合以上資格之學生得申請獎學金，第</w:t>
      </w:r>
      <w:r>
        <w:rPr>
          <w:rFonts w:ascii="標楷體" w:eastAsia="標楷體" w:hAnsi="標楷體" w:cs="Times New Roman"/>
          <w:color w:val="000000"/>
        </w:rPr>
        <w:t>1</w:t>
      </w:r>
      <w:r>
        <w:rPr>
          <w:rFonts w:ascii="標楷體" w:eastAsia="標楷體" w:hAnsi="標楷體" w:cs="Times New Roman"/>
          <w:color w:val="000000"/>
        </w:rPr>
        <w:t>名新臺幣</w:t>
      </w:r>
      <w:r>
        <w:rPr>
          <w:rFonts w:ascii="標楷體" w:eastAsia="標楷體" w:hAnsi="標楷體" w:cs="Times New Roman"/>
          <w:color w:val="000000"/>
        </w:rPr>
        <w:t>10,000</w:t>
      </w:r>
      <w:r>
        <w:rPr>
          <w:rFonts w:ascii="標楷體" w:eastAsia="標楷體" w:hAnsi="標楷體" w:cs="Times New Roman"/>
          <w:color w:val="000000"/>
        </w:rPr>
        <w:t>元，第</w:t>
      </w:r>
      <w:r>
        <w:rPr>
          <w:rFonts w:ascii="標楷體" w:eastAsia="標楷體" w:hAnsi="標楷體" w:cs="Times New Roman"/>
          <w:color w:val="000000"/>
        </w:rPr>
        <w:t>2</w:t>
      </w:r>
      <w:r>
        <w:rPr>
          <w:rFonts w:ascii="標楷體" w:eastAsia="標楷體" w:hAnsi="標楷體" w:cs="Times New Roman"/>
          <w:color w:val="000000"/>
        </w:rPr>
        <w:t>名新臺幣</w:t>
      </w:r>
      <w:r>
        <w:rPr>
          <w:rFonts w:ascii="標楷體" w:eastAsia="標楷體" w:hAnsi="標楷體" w:cs="Times New Roman"/>
          <w:color w:val="000000"/>
        </w:rPr>
        <w:t>8,000</w:t>
      </w:r>
      <w:r>
        <w:rPr>
          <w:rFonts w:ascii="標楷體" w:eastAsia="標楷體" w:hAnsi="標楷體" w:cs="Times New Roman"/>
          <w:color w:val="000000"/>
        </w:rPr>
        <w:t>元，第</w:t>
      </w:r>
      <w:r>
        <w:rPr>
          <w:rFonts w:ascii="標楷體" w:eastAsia="標楷體" w:hAnsi="標楷體" w:cs="Times New Roman"/>
          <w:color w:val="000000"/>
        </w:rPr>
        <w:t>3</w:t>
      </w:r>
      <w:r>
        <w:rPr>
          <w:rFonts w:ascii="標楷體" w:eastAsia="標楷體" w:hAnsi="標楷體" w:cs="Times New Roman"/>
          <w:color w:val="000000"/>
        </w:rPr>
        <w:t>名新臺幣</w:t>
      </w:r>
      <w:r>
        <w:rPr>
          <w:rFonts w:ascii="標楷體" w:eastAsia="標楷體" w:hAnsi="標楷體" w:cs="Times New Roman"/>
          <w:color w:val="000000"/>
        </w:rPr>
        <w:t>5,000</w:t>
      </w:r>
      <w:r>
        <w:rPr>
          <w:rFonts w:ascii="標楷體" w:eastAsia="標楷體" w:hAnsi="標楷體" w:cs="Times New Roman"/>
          <w:color w:val="000000"/>
        </w:rPr>
        <w:t>元，第</w:t>
      </w:r>
      <w:r>
        <w:rPr>
          <w:rFonts w:ascii="標楷體" w:eastAsia="標楷體" w:hAnsi="標楷體" w:cs="Times New Roman"/>
          <w:color w:val="000000"/>
        </w:rPr>
        <w:t>4</w:t>
      </w:r>
      <w:r>
        <w:rPr>
          <w:rFonts w:ascii="標楷體" w:eastAsia="標楷體" w:hAnsi="標楷體" w:cs="Times New Roman"/>
          <w:color w:val="000000"/>
        </w:rPr>
        <w:t>至</w:t>
      </w:r>
      <w:r>
        <w:rPr>
          <w:rFonts w:ascii="標楷體" w:eastAsia="標楷體" w:hAnsi="標楷體" w:cs="Times New Roman"/>
          <w:color w:val="000000"/>
        </w:rPr>
        <w:t>6</w:t>
      </w:r>
      <w:r>
        <w:rPr>
          <w:rFonts w:ascii="標楷體" w:eastAsia="標楷體" w:hAnsi="標楷體" w:cs="Times New Roman"/>
          <w:color w:val="000000"/>
        </w:rPr>
        <w:t>名或佳作新臺幣</w:t>
      </w:r>
      <w:r>
        <w:rPr>
          <w:rFonts w:ascii="標楷體" w:eastAsia="標楷體" w:hAnsi="標楷體" w:cs="Times New Roman"/>
          <w:color w:val="000000"/>
        </w:rPr>
        <w:t>3,000</w:t>
      </w:r>
      <w:r>
        <w:rPr>
          <w:rFonts w:ascii="標楷體" w:eastAsia="標楷體" w:hAnsi="標楷體" w:cs="Times New Roman"/>
          <w:color w:val="000000"/>
        </w:rPr>
        <w:t>元。</w:t>
      </w:r>
    </w:p>
    <w:p w:rsidR="00B351BC" w:rsidRDefault="00A24CFE">
      <w:pPr>
        <w:pStyle w:val="0221"/>
        <w:snapToGrid w:val="0"/>
        <w:spacing w:before="0" w:after="0" w:line="360" w:lineRule="exact"/>
        <w:ind w:firstLine="360"/>
        <w:rPr>
          <w:rFonts w:ascii="標楷體" w:eastAsia="標楷體" w:hAnsi="標楷體" w:cs="Times New Roman"/>
          <w:color w:val="000000"/>
        </w:rPr>
      </w:pPr>
      <w:r>
        <w:rPr>
          <w:rFonts w:ascii="標楷體" w:eastAsia="標楷體" w:hAnsi="標楷體" w:cs="Times New Roman"/>
          <w:color w:val="000000"/>
        </w:rPr>
        <w:t>（三）團體賽特殊才藝獎學金：</w:t>
      </w:r>
    </w:p>
    <w:p w:rsidR="00B351BC" w:rsidRDefault="00A24CFE">
      <w:pPr>
        <w:pStyle w:val="0221"/>
        <w:snapToGrid w:val="0"/>
        <w:spacing w:before="0" w:after="0" w:line="360" w:lineRule="exact"/>
        <w:ind w:left="1454" w:hanging="360"/>
        <w:rPr>
          <w:rFonts w:ascii="標楷體" w:eastAsia="標楷體" w:hAnsi="標楷體" w:cs="Times New Roman"/>
          <w:color w:val="000000"/>
        </w:rPr>
      </w:pPr>
      <w:r>
        <w:rPr>
          <w:rFonts w:ascii="標楷體" w:eastAsia="標楷體" w:hAnsi="標楷體" w:cs="Times New Roman"/>
          <w:color w:val="000000"/>
        </w:rPr>
        <w:t>1</w:t>
      </w:r>
      <w:r>
        <w:rPr>
          <w:rFonts w:ascii="標楷體" w:eastAsia="標楷體" w:hAnsi="標楷體" w:cs="Times New Roman"/>
          <w:color w:val="000000"/>
        </w:rPr>
        <w:t>、具有特殊才藝（語文、科學競賽、創意競賽、音樂、美術、舞蹈、體育、技藝等），近一年內參加教育部</w:t>
      </w:r>
      <w:r>
        <w:rPr>
          <w:rFonts w:ascii="標楷體" w:eastAsia="標楷體" w:hAnsi="標楷體" w:cs="Times New Roman"/>
          <w:color w:val="000000"/>
        </w:rPr>
        <w:t>(</w:t>
      </w:r>
      <w:r>
        <w:rPr>
          <w:rFonts w:ascii="標楷體" w:eastAsia="標楷體" w:hAnsi="標楷體" w:cs="Times New Roman"/>
          <w:color w:val="000000"/>
        </w:rPr>
        <w:t>含各司處</w:t>
      </w:r>
      <w:r>
        <w:rPr>
          <w:rFonts w:ascii="標楷體" w:eastAsia="標楷體" w:hAnsi="標楷體" w:cs="Times New Roman"/>
          <w:color w:val="000000"/>
        </w:rPr>
        <w:t>)</w:t>
      </w:r>
      <w:r>
        <w:rPr>
          <w:rFonts w:ascii="標楷體" w:eastAsia="標楷體" w:hAnsi="標楷體" w:cs="Times New Roman"/>
          <w:color w:val="000000"/>
        </w:rPr>
        <w:t>或本署辦理之全國性競賽，獲團體獎前三名者。</w:t>
      </w:r>
    </w:p>
    <w:p w:rsidR="00B351BC" w:rsidRDefault="00A24CFE">
      <w:pPr>
        <w:pStyle w:val="0221"/>
        <w:snapToGrid w:val="0"/>
        <w:spacing w:before="0" w:after="0" w:line="360" w:lineRule="exact"/>
        <w:ind w:left="1454" w:hanging="360"/>
        <w:rPr>
          <w:rFonts w:ascii="標楷體" w:eastAsia="標楷體" w:hAnsi="標楷體" w:cs="Times New Roman"/>
          <w:color w:val="000000"/>
        </w:rPr>
      </w:pPr>
      <w:r>
        <w:rPr>
          <w:rFonts w:ascii="標楷體" w:eastAsia="標楷體" w:hAnsi="標楷體" w:cs="Times New Roman"/>
          <w:color w:val="000000"/>
        </w:rPr>
        <w:t>2</w:t>
      </w:r>
      <w:r>
        <w:rPr>
          <w:rFonts w:ascii="標楷體" w:eastAsia="標楷體" w:hAnsi="標楷體" w:cs="Times New Roman"/>
          <w:color w:val="000000"/>
        </w:rPr>
        <w:t>、符合以上資格之學生得依下列團體賽人數核算個人獎學金：</w:t>
      </w:r>
    </w:p>
    <w:p w:rsidR="00B351BC" w:rsidRDefault="00A24CFE">
      <w:pPr>
        <w:pStyle w:val="0221"/>
        <w:numPr>
          <w:ilvl w:val="0"/>
          <w:numId w:val="19"/>
        </w:numPr>
        <w:snapToGrid w:val="0"/>
        <w:spacing w:before="0" w:after="0" w:line="360" w:lineRule="exact"/>
        <w:rPr>
          <w:rFonts w:ascii="標楷體" w:eastAsia="標楷體" w:hAnsi="標楷體" w:cs="Times New Roman"/>
          <w:color w:val="000000"/>
        </w:rPr>
      </w:pPr>
      <w:r>
        <w:rPr>
          <w:rFonts w:ascii="標楷體" w:eastAsia="標楷體" w:hAnsi="標楷體" w:cs="Times New Roman"/>
          <w:color w:val="000000"/>
        </w:rPr>
        <w:t>競賽成隊人數二至十人，個人獎學金新臺幣</w:t>
      </w:r>
      <w:r>
        <w:rPr>
          <w:rFonts w:ascii="標楷體" w:eastAsia="標楷體" w:hAnsi="標楷體" w:cs="Times New Roman"/>
          <w:color w:val="000000"/>
        </w:rPr>
        <w:t>5,000</w:t>
      </w:r>
      <w:r>
        <w:rPr>
          <w:rFonts w:ascii="標楷體" w:eastAsia="標楷體" w:hAnsi="標楷體" w:cs="Times New Roman"/>
          <w:color w:val="000000"/>
        </w:rPr>
        <w:t>元。</w:t>
      </w:r>
    </w:p>
    <w:p w:rsidR="00B351BC" w:rsidRDefault="00A24CFE">
      <w:pPr>
        <w:pStyle w:val="0221"/>
        <w:numPr>
          <w:ilvl w:val="0"/>
          <w:numId w:val="6"/>
        </w:numPr>
        <w:snapToGrid w:val="0"/>
        <w:spacing w:before="0" w:after="0" w:line="360" w:lineRule="exact"/>
        <w:rPr>
          <w:rFonts w:ascii="標楷體" w:eastAsia="標楷體" w:hAnsi="標楷體" w:cs="Times New Roman"/>
          <w:color w:val="000000"/>
        </w:rPr>
      </w:pPr>
      <w:r>
        <w:rPr>
          <w:rFonts w:ascii="標楷體" w:eastAsia="標楷體" w:hAnsi="標楷體" w:cs="Times New Roman"/>
          <w:color w:val="000000"/>
        </w:rPr>
        <w:t>競賽成隊人數十一至二十人，個人獎學金新臺幣</w:t>
      </w:r>
      <w:r>
        <w:rPr>
          <w:rFonts w:ascii="標楷體" w:eastAsia="標楷體" w:hAnsi="標楷體" w:cs="Times New Roman"/>
          <w:color w:val="000000"/>
        </w:rPr>
        <w:t>2,500</w:t>
      </w:r>
      <w:r>
        <w:rPr>
          <w:rFonts w:ascii="標楷體" w:eastAsia="標楷體" w:hAnsi="標楷體" w:cs="Times New Roman"/>
          <w:color w:val="000000"/>
        </w:rPr>
        <w:t>元。</w:t>
      </w:r>
    </w:p>
    <w:p w:rsidR="00B351BC" w:rsidRDefault="00A24CFE">
      <w:pPr>
        <w:pStyle w:val="0221"/>
        <w:numPr>
          <w:ilvl w:val="0"/>
          <w:numId w:val="6"/>
        </w:numPr>
        <w:snapToGrid w:val="0"/>
        <w:spacing w:before="0" w:after="0" w:line="360" w:lineRule="exact"/>
        <w:rPr>
          <w:rFonts w:ascii="標楷體" w:eastAsia="標楷體" w:hAnsi="標楷體" w:cs="Times New Roman"/>
          <w:color w:val="000000"/>
        </w:rPr>
      </w:pPr>
      <w:r>
        <w:rPr>
          <w:rFonts w:ascii="標楷體" w:eastAsia="標楷體" w:hAnsi="標楷體" w:cs="Times New Roman"/>
          <w:color w:val="000000"/>
        </w:rPr>
        <w:t>競賽成隊人數二十一至三十人，個人獎學金新臺幣</w:t>
      </w:r>
      <w:r>
        <w:rPr>
          <w:rFonts w:ascii="標楷體" w:eastAsia="標楷體" w:hAnsi="標楷體" w:cs="Times New Roman"/>
          <w:color w:val="000000"/>
        </w:rPr>
        <w:t>2,000</w:t>
      </w:r>
      <w:r>
        <w:rPr>
          <w:rFonts w:ascii="標楷體" w:eastAsia="標楷體" w:hAnsi="標楷體" w:cs="Times New Roman"/>
          <w:color w:val="000000"/>
        </w:rPr>
        <w:t>元。</w:t>
      </w:r>
    </w:p>
    <w:p w:rsidR="00B351BC" w:rsidRDefault="00A24CFE">
      <w:pPr>
        <w:pStyle w:val="0221"/>
        <w:numPr>
          <w:ilvl w:val="0"/>
          <w:numId w:val="6"/>
        </w:numPr>
        <w:snapToGrid w:val="0"/>
        <w:spacing w:before="0" w:after="0" w:line="360" w:lineRule="exact"/>
        <w:rPr>
          <w:rFonts w:ascii="標楷體" w:eastAsia="標楷體" w:hAnsi="標楷體" w:cs="Times New Roman"/>
          <w:color w:val="000000"/>
        </w:rPr>
      </w:pPr>
      <w:r>
        <w:rPr>
          <w:rFonts w:ascii="標楷體" w:eastAsia="標楷體" w:hAnsi="標楷體" w:cs="Times New Roman"/>
          <w:color w:val="000000"/>
        </w:rPr>
        <w:t>競賽成隊人數三十一人以上者，個人獎學金新臺幣</w:t>
      </w:r>
      <w:r>
        <w:rPr>
          <w:rFonts w:ascii="標楷體" w:eastAsia="標楷體" w:hAnsi="標楷體" w:cs="Times New Roman"/>
          <w:color w:val="000000"/>
        </w:rPr>
        <w:t>1,500</w:t>
      </w:r>
      <w:r>
        <w:rPr>
          <w:rFonts w:ascii="標楷體" w:eastAsia="標楷體" w:hAnsi="標楷體" w:cs="Times New Roman"/>
          <w:color w:val="000000"/>
        </w:rPr>
        <w:t>元。</w:t>
      </w:r>
    </w:p>
    <w:p w:rsidR="00B351BC" w:rsidRDefault="00A24CFE">
      <w:pPr>
        <w:pStyle w:val="Standard"/>
        <w:snapToGrid w:val="0"/>
        <w:spacing w:line="36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四、申請方式：</w:t>
      </w:r>
    </w:p>
    <w:p w:rsidR="00B351BC" w:rsidRDefault="00A24CFE">
      <w:pPr>
        <w:pStyle w:val="3"/>
        <w:spacing w:line="360" w:lineRule="exact"/>
        <w:ind w:left="1217" w:hanging="701"/>
      </w:pPr>
      <w:r>
        <w:rPr>
          <w:color w:val="000000"/>
          <w:sz w:val="24"/>
          <w:szCs w:val="24"/>
        </w:rPr>
        <w:t>（一）申請學業優秀獎學金之原住民學生，應於開學後十日內檢附申請書、身分證明文件及</w:t>
      </w:r>
      <w:r>
        <w:rPr>
          <w:color w:val="000000"/>
          <w:sz w:val="23"/>
          <w:szCs w:val="23"/>
        </w:rPr>
        <w:t>前一</w:t>
      </w:r>
      <w:r>
        <w:rPr>
          <w:color w:val="000000"/>
          <w:sz w:val="24"/>
          <w:szCs w:val="24"/>
        </w:rPr>
        <w:t>學期成績證明文件，向原就讀學校提出申請，由學校審查後，報主管機關複審，各高級中等學校及各直轄市、縣（市）政府於每年</w:t>
      </w:r>
      <w:r>
        <w:rPr>
          <w:color w:val="000000"/>
          <w:sz w:val="24"/>
          <w:szCs w:val="24"/>
        </w:rPr>
        <w:t>3</w:t>
      </w:r>
      <w:r>
        <w:rPr>
          <w:color w:val="000000"/>
          <w:sz w:val="24"/>
          <w:szCs w:val="24"/>
        </w:rPr>
        <w:t>月</w:t>
      </w:r>
      <w:r>
        <w:rPr>
          <w:color w:val="000000"/>
          <w:sz w:val="24"/>
          <w:szCs w:val="24"/>
        </w:rPr>
        <w:t>31</w:t>
      </w:r>
      <w:r>
        <w:rPr>
          <w:color w:val="000000"/>
          <w:sz w:val="24"/>
          <w:szCs w:val="24"/>
        </w:rPr>
        <w:t>日及</w:t>
      </w:r>
      <w:r>
        <w:rPr>
          <w:color w:val="000000"/>
          <w:sz w:val="24"/>
          <w:szCs w:val="24"/>
        </w:rPr>
        <w:t>10</w:t>
      </w:r>
      <w:r>
        <w:rPr>
          <w:color w:val="000000"/>
          <w:sz w:val="24"/>
          <w:szCs w:val="24"/>
        </w:rPr>
        <w:t>月</w:t>
      </w:r>
      <w:r>
        <w:rPr>
          <w:color w:val="000000"/>
          <w:sz w:val="24"/>
          <w:szCs w:val="24"/>
        </w:rPr>
        <w:t>15</w:t>
      </w:r>
      <w:r>
        <w:rPr>
          <w:color w:val="000000"/>
          <w:sz w:val="24"/>
          <w:szCs w:val="24"/>
        </w:rPr>
        <w:t>日前送交本署委託之承辦單位彙整，逾期概不受理。</w:t>
      </w:r>
    </w:p>
    <w:p w:rsidR="00B351BC" w:rsidRDefault="00A24CFE">
      <w:pPr>
        <w:pStyle w:val="3"/>
        <w:spacing w:line="360" w:lineRule="exact"/>
        <w:ind w:left="1217" w:hanging="701"/>
        <w:rPr>
          <w:color w:val="000000"/>
          <w:sz w:val="24"/>
          <w:szCs w:val="24"/>
        </w:rPr>
      </w:pPr>
      <w:r>
        <w:rPr>
          <w:color w:val="000000"/>
          <w:sz w:val="24"/>
          <w:szCs w:val="24"/>
        </w:rPr>
        <w:t>（二）申請個人單項才藝優秀獎學金、團體賽特殊才藝獎學金之原住民學生，應檢附申請書、身分證明文件及近一年內獲奬</w:t>
      </w:r>
      <w:r>
        <w:rPr>
          <w:color w:val="000000"/>
          <w:sz w:val="24"/>
          <w:szCs w:val="24"/>
        </w:rPr>
        <w:t>證明文件影本，向原就讀學校提出申請，由學校審查原住民資格後彙報主管機關，於每年</w:t>
      </w:r>
      <w:r>
        <w:rPr>
          <w:color w:val="000000"/>
          <w:sz w:val="24"/>
          <w:szCs w:val="24"/>
        </w:rPr>
        <w:t>4</w:t>
      </w:r>
      <w:r>
        <w:rPr>
          <w:color w:val="000000"/>
          <w:sz w:val="24"/>
          <w:szCs w:val="24"/>
        </w:rPr>
        <w:t>月</w:t>
      </w:r>
      <w:r>
        <w:rPr>
          <w:color w:val="000000"/>
          <w:sz w:val="24"/>
          <w:szCs w:val="24"/>
        </w:rPr>
        <w:t>15</w:t>
      </w:r>
      <w:r>
        <w:rPr>
          <w:color w:val="000000"/>
          <w:sz w:val="24"/>
          <w:szCs w:val="24"/>
        </w:rPr>
        <w:t>日前彙整送本署辦理，逾期概不受理。</w:t>
      </w:r>
    </w:p>
    <w:p w:rsidR="00B351BC" w:rsidRDefault="00A24CFE">
      <w:pPr>
        <w:pStyle w:val="3"/>
        <w:spacing w:line="360" w:lineRule="exact"/>
        <w:ind w:left="1217" w:hanging="701"/>
      </w:pPr>
      <w:r>
        <w:rPr>
          <w:color w:val="000000"/>
          <w:sz w:val="24"/>
          <w:szCs w:val="24"/>
        </w:rPr>
        <w:t>（三）高級中等學校原住民資格之審查，由學校以電子查驗系統查驗原住民身分；</w:t>
      </w:r>
      <w:r>
        <w:rPr>
          <w:color w:val="000000"/>
          <w:sz w:val="23"/>
          <w:szCs w:val="23"/>
        </w:rPr>
        <w:t>未能連結前項電子查驗系統，得要求當事人提供全戶戶口名簿影本或開學前三個月內申請之其他戶籍資料證明文件</w:t>
      </w:r>
      <w:r>
        <w:rPr>
          <w:color w:val="000000"/>
          <w:sz w:val="24"/>
          <w:szCs w:val="24"/>
        </w:rPr>
        <w:t>，作為審查依據。</w:t>
      </w:r>
    </w:p>
    <w:p w:rsidR="00B351BC" w:rsidRDefault="00A24CFE">
      <w:pPr>
        <w:pStyle w:val="3"/>
        <w:spacing w:line="360" w:lineRule="exact"/>
        <w:ind w:left="1217" w:hanging="701"/>
        <w:rPr>
          <w:color w:val="000000"/>
          <w:sz w:val="24"/>
          <w:szCs w:val="24"/>
        </w:rPr>
      </w:pPr>
      <w:r>
        <w:rPr>
          <w:color w:val="000000"/>
          <w:sz w:val="24"/>
          <w:szCs w:val="24"/>
        </w:rPr>
        <w:t>（四）各級學校當學年度之畢業生得以就學期間之近一年內競賽獲獎證明，或前一就學階段之最後一學期成績向原畢業學校提出申請。</w:t>
      </w:r>
    </w:p>
    <w:p w:rsidR="00B351BC" w:rsidRDefault="00A24CFE">
      <w:pPr>
        <w:pStyle w:val="Standard"/>
        <w:snapToGrid w:val="0"/>
        <w:spacing w:line="360" w:lineRule="exact"/>
        <w:ind w:left="480" w:hanging="480"/>
        <w:jc w:val="both"/>
        <w:rPr>
          <w:rFonts w:ascii="標楷體" w:eastAsia="標楷體" w:hAnsi="標楷體" w:cs="細明體"/>
          <w:color w:val="000000"/>
          <w:kern w:val="0"/>
          <w:szCs w:val="24"/>
        </w:rPr>
      </w:pPr>
      <w:r>
        <w:rPr>
          <w:rFonts w:ascii="標楷體" w:eastAsia="標楷體" w:hAnsi="標楷體" w:cs="細明體"/>
          <w:color w:val="000000"/>
          <w:kern w:val="0"/>
          <w:szCs w:val="24"/>
        </w:rPr>
        <w:t>五、審查及核定：</w:t>
      </w:r>
    </w:p>
    <w:p w:rsidR="00B351BC" w:rsidRDefault="00A24CFE">
      <w:pPr>
        <w:pStyle w:val="Standard"/>
        <w:snapToGrid w:val="0"/>
        <w:spacing w:line="360" w:lineRule="exact"/>
        <w:ind w:left="1118" w:hanging="720"/>
        <w:rPr>
          <w:rFonts w:ascii="標楷體" w:eastAsia="標楷體" w:hAnsi="標楷體" w:cs="細明體"/>
          <w:color w:val="000000"/>
          <w:kern w:val="0"/>
          <w:szCs w:val="24"/>
        </w:rPr>
      </w:pPr>
      <w:r>
        <w:rPr>
          <w:rFonts w:ascii="標楷體" w:eastAsia="標楷體" w:hAnsi="標楷體" w:cs="細明體"/>
          <w:color w:val="000000"/>
          <w:kern w:val="0"/>
          <w:szCs w:val="24"/>
        </w:rPr>
        <w:t>（一）學業優秀獎學金由各學校主管機關組成「原住民學生學業優秀獎學金審查小組」，進行實質審查並確認受獎名單。</w:t>
      </w:r>
    </w:p>
    <w:p w:rsidR="00B351BC" w:rsidRDefault="00A24CFE">
      <w:pPr>
        <w:pStyle w:val="Standard"/>
        <w:snapToGrid w:val="0"/>
        <w:spacing w:line="360" w:lineRule="exact"/>
        <w:ind w:left="1118" w:hanging="720"/>
        <w:rPr>
          <w:rFonts w:ascii="標楷體" w:eastAsia="標楷體" w:hAnsi="標楷體" w:cs="細明體"/>
          <w:color w:val="000000"/>
          <w:kern w:val="0"/>
          <w:szCs w:val="24"/>
        </w:rPr>
      </w:pPr>
      <w:r>
        <w:rPr>
          <w:rFonts w:ascii="標楷體" w:eastAsia="標楷體" w:hAnsi="標楷體" w:cs="細明體"/>
          <w:color w:val="000000"/>
          <w:kern w:val="0"/>
          <w:szCs w:val="24"/>
        </w:rPr>
        <w:t>（二）各級學校才藝優秀獎學金由本署審查，並由本署邀集專家學者、行政單位代表、校長代表、教師代表及社會公正人士組成「原住民學生才藝優秀獎學金審查小組」，進行實質審查並確認受獎名單。</w:t>
      </w:r>
    </w:p>
    <w:p w:rsidR="00B351BC" w:rsidRDefault="00A24CFE">
      <w:pPr>
        <w:pStyle w:val="Standard"/>
        <w:snapToGrid w:val="0"/>
        <w:spacing w:line="360" w:lineRule="exact"/>
        <w:ind w:left="1118" w:hanging="720"/>
        <w:rPr>
          <w:rFonts w:ascii="標楷體" w:eastAsia="標楷體" w:hAnsi="標楷體" w:cs="細明體"/>
          <w:color w:val="000000"/>
          <w:kern w:val="0"/>
          <w:szCs w:val="24"/>
        </w:rPr>
      </w:pPr>
      <w:r>
        <w:rPr>
          <w:rFonts w:ascii="標楷體" w:eastAsia="標楷體" w:hAnsi="標楷體" w:cs="細明體"/>
          <w:color w:val="000000"/>
          <w:kern w:val="0"/>
          <w:szCs w:val="24"/>
        </w:rPr>
        <w:t>（三）學業優秀獎學金之申請，各依成績總分高低排列名額，如分數相同者，則以低收入戶、無懲戒紀錄、獎勵紀錄、學校推薦序依序排序，若仍相同者則增額錄取。才藝優秀學生獎學金之申請，同級別之審核，得優先獎勵原住民族語或傳統藝能比賽或展</w:t>
      </w:r>
      <w:r>
        <w:rPr>
          <w:rFonts w:ascii="標楷體" w:eastAsia="標楷體" w:hAnsi="標楷體" w:cs="細明體"/>
          <w:color w:val="000000"/>
          <w:kern w:val="0"/>
          <w:szCs w:val="24"/>
        </w:rPr>
        <w:t>演之項目。</w:t>
      </w:r>
    </w:p>
    <w:p w:rsidR="00B351BC" w:rsidRDefault="00A24CFE">
      <w:pPr>
        <w:pStyle w:val="Standard"/>
        <w:snapToGrid w:val="0"/>
        <w:spacing w:line="360" w:lineRule="exact"/>
        <w:ind w:left="1118" w:hanging="720"/>
        <w:rPr>
          <w:rFonts w:ascii="標楷體" w:eastAsia="標楷體" w:hAnsi="標楷體" w:cs="細明體"/>
          <w:color w:val="000000"/>
          <w:kern w:val="0"/>
          <w:szCs w:val="24"/>
        </w:rPr>
      </w:pPr>
      <w:r>
        <w:rPr>
          <w:rFonts w:ascii="標楷體" w:eastAsia="標楷體" w:hAnsi="標楷體" w:cs="細明體"/>
          <w:color w:val="000000"/>
          <w:kern w:val="0"/>
          <w:szCs w:val="24"/>
        </w:rPr>
        <w:t>（四）學業優秀獎學金名額由本署視年度預算及原住民學生比例分配。</w:t>
      </w:r>
    </w:p>
    <w:p w:rsidR="00B351BC" w:rsidRDefault="00A24CFE">
      <w:pPr>
        <w:pStyle w:val="Standard"/>
        <w:snapToGrid w:val="0"/>
        <w:spacing w:line="360" w:lineRule="exact"/>
        <w:rPr>
          <w:rFonts w:ascii="標楷體" w:eastAsia="標楷體" w:hAnsi="標楷體" w:cs="細明體"/>
          <w:color w:val="000000"/>
          <w:kern w:val="0"/>
          <w:szCs w:val="24"/>
        </w:rPr>
      </w:pPr>
      <w:r>
        <w:rPr>
          <w:rFonts w:ascii="標楷體" w:eastAsia="標楷體" w:hAnsi="標楷體" w:cs="細明體"/>
          <w:color w:val="000000"/>
          <w:kern w:val="0"/>
          <w:szCs w:val="24"/>
        </w:rPr>
        <w:t>六、撥款方式：</w:t>
      </w:r>
    </w:p>
    <w:p w:rsidR="00B351BC" w:rsidRDefault="00A24CFE">
      <w:pPr>
        <w:pStyle w:val="Standard"/>
        <w:snapToGrid w:val="0"/>
        <w:spacing w:line="360" w:lineRule="exact"/>
        <w:ind w:left="1118" w:hanging="720"/>
        <w:rPr>
          <w:rFonts w:ascii="標楷體" w:eastAsia="標楷體" w:hAnsi="標楷體" w:cs="細明體"/>
          <w:color w:val="000000"/>
          <w:kern w:val="0"/>
          <w:szCs w:val="24"/>
        </w:rPr>
      </w:pPr>
      <w:bookmarkStart w:id="12" w:name="OLE_LINK6"/>
      <w:bookmarkStart w:id="13" w:name="OLE_LINK7"/>
      <w:bookmarkStart w:id="14" w:name="OLE_LINK8"/>
      <w:r>
        <w:rPr>
          <w:rFonts w:ascii="標楷體" w:eastAsia="標楷體" w:hAnsi="標楷體" w:cs="細明體"/>
          <w:color w:val="000000"/>
          <w:kern w:val="0"/>
          <w:szCs w:val="24"/>
        </w:rPr>
        <w:t>（一）本署所轄學校：</w:t>
      </w:r>
    </w:p>
    <w:p w:rsidR="00B351BC" w:rsidRDefault="00A24CFE">
      <w:pPr>
        <w:pStyle w:val="Standard"/>
        <w:snapToGrid w:val="0"/>
        <w:spacing w:line="360" w:lineRule="exact"/>
        <w:ind w:left="1118"/>
      </w:pPr>
      <w:r>
        <w:rPr>
          <w:rFonts w:ascii="標楷體" w:eastAsia="標楷體" w:hAnsi="標楷體" w:cs="細明體"/>
          <w:color w:val="000000"/>
          <w:kern w:val="0"/>
          <w:szCs w:val="24"/>
        </w:rPr>
        <w:t>經本署審核合格後，</w:t>
      </w:r>
      <w:bookmarkStart w:id="15" w:name="OLE_LINK12"/>
      <w:bookmarkStart w:id="16" w:name="OLE_LINK11"/>
      <w:bookmarkStart w:id="17" w:name="OLE_LINK10"/>
      <w:bookmarkStart w:id="18" w:name="OLE_LINK9"/>
      <w:r>
        <w:rPr>
          <w:rFonts w:ascii="標楷體" w:eastAsia="標楷體" w:hAnsi="標楷體" w:cs="細明體"/>
          <w:color w:val="000000"/>
          <w:kern w:val="0"/>
          <w:szCs w:val="24"/>
        </w:rPr>
        <w:t>函請各學校掣據並造具印領清冊轉發</w:t>
      </w:r>
      <w:bookmarkEnd w:id="15"/>
      <w:bookmarkEnd w:id="16"/>
      <w:bookmarkEnd w:id="17"/>
      <w:bookmarkEnd w:id="18"/>
      <w:r>
        <w:rPr>
          <w:rFonts w:ascii="標楷體" w:eastAsia="標楷體" w:hAnsi="標楷體" w:cs="細明體"/>
          <w:color w:val="000000"/>
          <w:kern w:val="0"/>
          <w:szCs w:val="24"/>
        </w:rPr>
        <w:t>受獎生。</w:t>
      </w:r>
      <w:bookmarkStart w:id="19" w:name="OLE_LINK13"/>
      <w:bookmarkStart w:id="20" w:name="OLE_LINK14"/>
      <w:bookmarkStart w:id="21" w:name="OLE_LINK15"/>
      <w:bookmarkEnd w:id="19"/>
      <w:bookmarkEnd w:id="20"/>
      <w:bookmarkEnd w:id="21"/>
    </w:p>
    <w:p w:rsidR="00B351BC" w:rsidRDefault="00A24CFE">
      <w:pPr>
        <w:pStyle w:val="Standard"/>
        <w:snapToGrid w:val="0"/>
        <w:spacing w:line="360" w:lineRule="exact"/>
        <w:ind w:left="1118" w:hanging="720"/>
        <w:rPr>
          <w:rFonts w:ascii="標楷體" w:eastAsia="標楷體" w:hAnsi="標楷體" w:cs="細明體"/>
          <w:color w:val="000000"/>
          <w:kern w:val="0"/>
          <w:szCs w:val="24"/>
        </w:rPr>
      </w:pPr>
      <w:r>
        <w:rPr>
          <w:rFonts w:ascii="標楷體" w:eastAsia="標楷體" w:hAnsi="標楷體" w:cs="細明體"/>
          <w:color w:val="000000"/>
          <w:kern w:val="0"/>
          <w:szCs w:val="24"/>
        </w:rPr>
        <w:t>（二）直轄市及縣（市）立學校：</w:t>
      </w:r>
    </w:p>
    <w:p w:rsidR="00B351BC" w:rsidRDefault="00A24CFE">
      <w:pPr>
        <w:pStyle w:val="Standard"/>
        <w:snapToGrid w:val="0"/>
        <w:ind w:left="1118"/>
      </w:pPr>
      <w:r>
        <w:rPr>
          <w:rFonts w:ascii="標楷體" w:eastAsia="標楷體" w:hAnsi="標楷體" w:cs="細明體"/>
          <w:color w:val="000000"/>
          <w:kern w:val="0"/>
          <w:szCs w:val="24"/>
        </w:rPr>
        <w:t>經主管機關審核後，彙報掣據送本署核撥主管機關轉撥各校</w:t>
      </w:r>
      <w:bookmarkEnd w:id="12"/>
      <w:bookmarkEnd w:id="13"/>
      <w:bookmarkEnd w:id="14"/>
      <w:r>
        <w:rPr>
          <w:rFonts w:ascii="標楷體" w:eastAsia="標楷體" w:hAnsi="標楷體" w:cs="細明體"/>
          <w:color w:val="000000"/>
          <w:kern w:val="0"/>
          <w:szCs w:val="24"/>
        </w:rPr>
        <w:t>，由學校發予受獎生。</w:t>
      </w:r>
    </w:p>
    <w:p w:rsidR="00B351BC" w:rsidRDefault="00A24CFE">
      <w:pPr>
        <w:pStyle w:val="1"/>
        <w:widowControl/>
        <w:snapToGrid w:val="0"/>
        <w:spacing w:line="360" w:lineRule="exact"/>
        <w:ind w:hanging="480"/>
        <w:jc w:val="both"/>
        <w:rPr>
          <w:rFonts w:ascii="標楷體" w:eastAsia="標楷體" w:hAnsi="標楷體"/>
          <w:color w:val="000000"/>
        </w:rPr>
      </w:pPr>
      <w:r>
        <w:rPr>
          <w:rFonts w:ascii="標楷體" w:eastAsia="標楷體" w:hAnsi="標楷體"/>
          <w:color w:val="000000"/>
        </w:rPr>
        <w:t>七、本項補助之結報，依教育部補助及委辦經費核撥結報作業要點規定辦理。本署主管學校，應於計畫結束後二個月內，檢送原始憑證及相關表件，報本署辦理結案；直轄市、縣（市）政府主管之學校，應於計畫結束後二個月內，由直轄市、縣（市）政府彙整列冊報本署辦理結案。</w:t>
      </w:r>
    </w:p>
    <w:p w:rsidR="00B351BC" w:rsidRDefault="00A24CFE">
      <w:pPr>
        <w:pStyle w:val="Standard"/>
        <w:snapToGrid w:val="0"/>
        <w:spacing w:line="360" w:lineRule="exact"/>
        <w:rPr>
          <w:rFonts w:eastAsia="標楷體"/>
          <w:color w:val="000000"/>
          <w:szCs w:val="24"/>
        </w:rPr>
      </w:pPr>
      <w:r>
        <w:rPr>
          <w:rFonts w:eastAsia="標楷體"/>
          <w:color w:val="000000"/>
          <w:szCs w:val="24"/>
        </w:rPr>
        <w:t>八、辦理本項業務績優人員，得由本署或直轄市、縣（市）政府敘獎。</w:t>
      </w:r>
    </w:p>
    <w:sectPr w:rsidR="00B351BC">
      <w:pgSz w:w="11906" w:h="16838"/>
      <w:pgMar w:top="1440" w:right="1276" w:bottom="851"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CFE" w:rsidRDefault="00A24CFE">
      <w:r>
        <w:separator/>
      </w:r>
    </w:p>
  </w:endnote>
  <w:endnote w:type="continuationSeparator" w:id="0">
    <w:p w:rsidR="00A24CFE" w:rsidRDefault="00A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CFE" w:rsidRDefault="00A24CFE">
      <w:r>
        <w:rPr>
          <w:color w:val="000000"/>
        </w:rPr>
        <w:separator/>
      </w:r>
    </w:p>
  </w:footnote>
  <w:footnote w:type="continuationSeparator" w:id="0">
    <w:p w:rsidR="00A24CFE" w:rsidRDefault="00A24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60428"/>
    <w:multiLevelType w:val="multilevel"/>
    <w:tmpl w:val="47D88DA6"/>
    <w:styleLink w:val="WWNum6"/>
    <w:lvl w:ilvl="0">
      <w:start w:val="1"/>
      <w:numFmt w:val="decimal"/>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1">
    <w:nsid w:val="1ABE149E"/>
    <w:multiLevelType w:val="multilevel"/>
    <w:tmpl w:val="25BACF10"/>
    <w:styleLink w:val="WWNum5"/>
    <w:lvl w:ilvl="0">
      <w:start w:val="1"/>
      <w:numFmt w:val="decimal"/>
      <w:lvlText w:val="（%1）"/>
      <w:lvlJc w:val="left"/>
      <w:pPr>
        <w:ind w:left="1996"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6AC5D39"/>
    <w:multiLevelType w:val="multilevel"/>
    <w:tmpl w:val="25045E5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2C7D77FD"/>
    <w:multiLevelType w:val="multilevel"/>
    <w:tmpl w:val="E8280358"/>
    <w:styleLink w:val="WWNum9"/>
    <w:lvl w:ilvl="0">
      <w:start w:val="1"/>
      <w:numFmt w:val="japaneseCounting"/>
      <w:lvlText w:val="%1、"/>
      <w:lvlJc w:val="left"/>
      <w:pPr>
        <w:ind w:left="319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E646D45"/>
    <w:multiLevelType w:val="multilevel"/>
    <w:tmpl w:val="6CBE25E4"/>
    <w:styleLink w:val="WW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78408D7"/>
    <w:multiLevelType w:val="multilevel"/>
    <w:tmpl w:val="7C10D576"/>
    <w:styleLink w:val="WWNum12"/>
    <w:lvl w:ilvl="0">
      <w:start w:val="1"/>
      <w:numFmt w:val="decimal"/>
      <w:lvlText w:val="（%1）"/>
      <w:lvlJc w:val="left"/>
      <w:pPr>
        <w:ind w:left="1996"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9D5471E"/>
    <w:multiLevelType w:val="multilevel"/>
    <w:tmpl w:val="13B2FCB4"/>
    <w:styleLink w:val="WWNum4"/>
    <w:lvl w:ilvl="0">
      <w:start w:val="1"/>
      <w:numFmt w:val="decimal"/>
      <w:lvlText w:val="（%1）"/>
      <w:lvlJc w:val="left"/>
      <w:pPr>
        <w:ind w:left="1996"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0E35309"/>
    <w:multiLevelType w:val="multilevel"/>
    <w:tmpl w:val="917602B0"/>
    <w:styleLink w:val="WWNum3"/>
    <w:lvl w:ilvl="0">
      <w:start w:val="1"/>
      <w:numFmt w:val="decimal"/>
      <w:lvlText w:val="%1、"/>
      <w:lvlJc w:val="left"/>
      <w:pPr>
        <w:ind w:left="1526" w:hanging="360"/>
      </w:pPr>
    </w:lvl>
    <w:lvl w:ilvl="1">
      <w:start w:val="1"/>
      <w:numFmt w:val="japaneseCounting"/>
      <w:lvlText w:val="%2、"/>
      <w:lvlJc w:val="left"/>
      <w:pPr>
        <w:ind w:left="2126" w:hanging="480"/>
      </w:pPr>
    </w:lvl>
    <w:lvl w:ilvl="2">
      <w:start w:val="1"/>
      <w:numFmt w:val="japaneseCounting"/>
      <w:lvlText w:val="(%3)"/>
      <w:lvlJc w:val="left"/>
      <w:pPr>
        <w:ind w:left="2606" w:hanging="480"/>
      </w:pPr>
    </w:lvl>
    <w:lvl w:ilvl="3">
      <w:start w:val="1"/>
      <w:numFmt w:val="decimal"/>
      <w:lvlText w:val="%4."/>
      <w:lvlJc w:val="left"/>
      <w:pPr>
        <w:ind w:left="3086" w:hanging="480"/>
      </w:pPr>
    </w:lvl>
    <w:lvl w:ilvl="4">
      <w:start w:val="1"/>
      <w:numFmt w:val="ideographTraditional"/>
      <w:lvlText w:val="%5、"/>
      <w:lvlJc w:val="left"/>
      <w:pPr>
        <w:ind w:left="3566" w:hanging="480"/>
      </w:pPr>
    </w:lvl>
    <w:lvl w:ilvl="5">
      <w:start w:val="1"/>
      <w:numFmt w:val="lowerRoman"/>
      <w:lvlText w:val="%6."/>
      <w:lvlJc w:val="right"/>
      <w:pPr>
        <w:ind w:left="4046" w:hanging="480"/>
      </w:pPr>
    </w:lvl>
    <w:lvl w:ilvl="6">
      <w:start w:val="1"/>
      <w:numFmt w:val="decimal"/>
      <w:lvlText w:val="%7."/>
      <w:lvlJc w:val="left"/>
      <w:pPr>
        <w:ind w:left="4526" w:hanging="480"/>
      </w:pPr>
    </w:lvl>
    <w:lvl w:ilvl="7">
      <w:start w:val="1"/>
      <w:numFmt w:val="ideographTraditional"/>
      <w:lvlText w:val="%8、"/>
      <w:lvlJc w:val="left"/>
      <w:pPr>
        <w:ind w:left="5006" w:hanging="480"/>
      </w:pPr>
    </w:lvl>
    <w:lvl w:ilvl="8">
      <w:start w:val="1"/>
      <w:numFmt w:val="lowerRoman"/>
      <w:lvlText w:val="%9."/>
      <w:lvlJc w:val="right"/>
      <w:pPr>
        <w:ind w:left="5486" w:hanging="480"/>
      </w:pPr>
    </w:lvl>
  </w:abstractNum>
  <w:abstractNum w:abstractNumId="8">
    <w:nsid w:val="55AC6850"/>
    <w:multiLevelType w:val="multilevel"/>
    <w:tmpl w:val="141259F8"/>
    <w:styleLink w:val="WWNum10"/>
    <w:lvl w:ilvl="0">
      <w:start w:val="1"/>
      <w:numFmt w:val="decimal"/>
      <w:lvlText w:val="%1、"/>
      <w:lvlJc w:val="left"/>
      <w:pPr>
        <w:ind w:left="1526"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70941AE"/>
    <w:multiLevelType w:val="multilevel"/>
    <w:tmpl w:val="D6B8DE2C"/>
    <w:styleLink w:val="WWNum7"/>
    <w:lvl w:ilvl="0">
      <w:start w:val="1"/>
      <w:numFmt w:val="decimal"/>
      <w:lvlText w:val="(%1)"/>
      <w:lvlJc w:val="left"/>
      <w:pPr>
        <w:ind w:left="810" w:hanging="384"/>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0">
    <w:nsid w:val="66534585"/>
    <w:multiLevelType w:val="multilevel"/>
    <w:tmpl w:val="A2DECEFC"/>
    <w:styleLink w:val="WWNum13"/>
    <w:lvl w:ilvl="0">
      <w:start w:val="1"/>
      <w:numFmt w:val="decimal"/>
      <w:lvlText w:val="（%1）"/>
      <w:lvlJc w:val="left"/>
      <w:pPr>
        <w:ind w:left="2901" w:hanging="720"/>
      </w:pPr>
    </w:lvl>
    <w:lvl w:ilvl="1">
      <w:start w:val="1"/>
      <w:numFmt w:val="ideographTraditional"/>
      <w:lvlText w:val="%2、"/>
      <w:lvlJc w:val="left"/>
      <w:pPr>
        <w:ind w:left="1865" w:hanging="480"/>
      </w:pPr>
    </w:lvl>
    <w:lvl w:ilvl="2">
      <w:start w:val="1"/>
      <w:numFmt w:val="lowerRoman"/>
      <w:lvlText w:val="%3."/>
      <w:lvlJc w:val="right"/>
      <w:pPr>
        <w:ind w:left="2345" w:hanging="480"/>
      </w:pPr>
    </w:lvl>
    <w:lvl w:ilvl="3">
      <w:start w:val="1"/>
      <w:numFmt w:val="decimal"/>
      <w:lvlText w:val="%4."/>
      <w:lvlJc w:val="left"/>
      <w:pPr>
        <w:ind w:left="2825" w:hanging="480"/>
      </w:pPr>
    </w:lvl>
    <w:lvl w:ilvl="4">
      <w:start w:val="1"/>
      <w:numFmt w:val="ideographTraditional"/>
      <w:lvlText w:val="%5、"/>
      <w:lvlJc w:val="left"/>
      <w:pPr>
        <w:ind w:left="3305" w:hanging="480"/>
      </w:pPr>
    </w:lvl>
    <w:lvl w:ilvl="5">
      <w:start w:val="1"/>
      <w:numFmt w:val="lowerRoman"/>
      <w:lvlText w:val="%6."/>
      <w:lvlJc w:val="right"/>
      <w:pPr>
        <w:ind w:left="3785" w:hanging="480"/>
      </w:pPr>
    </w:lvl>
    <w:lvl w:ilvl="6">
      <w:start w:val="1"/>
      <w:numFmt w:val="decimal"/>
      <w:lvlText w:val="%7."/>
      <w:lvlJc w:val="left"/>
      <w:pPr>
        <w:ind w:left="4265" w:hanging="480"/>
      </w:pPr>
    </w:lvl>
    <w:lvl w:ilvl="7">
      <w:start w:val="1"/>
      <w:numFmt w:val="ideographTraditional"/>
      <w:lvlText w:val="%8、"/>
      <w:lvlJc w:val="left"/>
      <w:pPr>
        <w:ind w:left="4745" w:hanging="480"/>
      </w:pPr>
    </w:lvl>
    <w:lvl w:ilvl="8">
      <w:start w:val="1"/>
      <w:numFmt w:val="lowerRoman"/>
      <w:lvlText w:val="%9."/>
      <w:lvlJc w:val="right"/>
      <w:pPr>
        <w:ind w:left="5225" w:hanging="480"/>
      </w:pPr>
    </w:lvl>
  </w:abstractNum>
  <w:abstractNum w:abstractNumId="11">
    <w:nsid w:val="6AD65278"/>
    <w:multiLevelType w:val="multilevel"/>
    <w:tmpl w:val="28E436F8"/>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AAD1AE7"/>
    <w:multiLevelType w:val="multilevel"/>
    <w:tmpl w:val="B1348936"/>
    <w:styleLink w:val="WWNum11"/>
    <w:lvl w:ilvl="0">
      <w:start w:val="1"/>
      <w:numFmt w:val="decimal"/>
      <w:lvlText w:val="（%1）"/>
      <w:lvlJc w:val="left"/>
      <w:pPr>
        <w:ind w:left="1996" w:hanging="720"/>
      </w:pPr>
    </w:lvl>
    <w:lvl w:ilvl="1">
      <w:start w:val="1"/>
      <w:numFmt w:val="ideographTraditional"/>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FC912BF"/>
    <w:multiLevelType w:val="multilevel"/>
    <w:tmpl w:val="A0869EE8"/>
    <w:styleLink w:val="WWNum2"/>
    <w:lvl w:ilvl="0">
      <w:start w:val="1"/>
      <w:numFmt w:val="decimal"/>
      <w:lvlText w:val="（%1）"/>
      <w:lvlJc w:val="left"/>
      <w:pPr>
        <w:ind w:left="1996" w:hanging="720"/>
      </w:pPr>
    </w:lvl>
    <w:lvl w:ilvl="1">
      <w:start w:val="1"/>
      <w:numFmt w:val="ideographTraditional"/>
      <w:lvlText w:val="%2、"/>
      <w:lvlJc w:val="left"/>
      <w:pPr>
        <w:ind w:left="2236" w:hanging="480"/>
      </w:pPr>
    </w:lvl>
    <w:lvl w:ilvl="2">
      <w:start w:val="3"/>
      <w:numFmt w:val="japaneseCounting"/>
      <w:lvlText w:val="（%3）"/>
      <w:lvlJc w:val="left"/>
      <w:pPr>
        <w:ind w:left="2956" w:hanging="720"/>
      </w:pPr>
    </w:lvl>
    <w:lvl w:ilvl="3">
      <w:start w:val="1"/>
      <w:numFmt w:val="japaneseCounting"/>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2"/>
  </w:num>
  <w:num w:numId="2">
    <w:abstractNumId w:val="4"/>
  </w:num>
  <w:num w:numId="3">
    <w:abstractNumId w:val="13"/>
  </w:num>
  <w:num w:numId="4">
    <w:abstractNumId w:val="7"/>
  </w:num>
  <w:num w:numId="5">
    <w:abstractNumId w:val="6"/>
  </w:num>
  <w:num w:numId="6">
    <w:abstractNumId w:val="1"/>
  </w:num>
  <w:num w:numId="7">
    <w:abstractNumId w:val="0"/>
  </w:num>
  <w:num w:numId="8">
    <w:abstractNumId w:val="9"/>
  </w:num>
  <w:num w:numId="9">
    <w:abstractNumId w:val="11"/>
  </w:num>
  <w:num w:numId="10">
    <w:abstractNumId w:val="3"/>
  </w:num>
  <w:num w:numId="11">
    <w:abstractNumId w:val="8"/>
  </w:num>
  <w:num w:numId="12">
    <w:abstractNumId w:val="12"/>
  </w:num>
  <w:num w:numId="13">
    <w:abstractNumId w:val="5"/>
  </w:num>
  <w:num w:numId="14">
    <w:abstractNumId w:val="10"/>
  </w:num>
  <w:num w:numId="15">
    <w:abstractNumId w:val="4"/>
    <w:lvlOverride w:ilvl="0">
      <w:startOverride w:val="1"/>
    </w:lvlOverride>
  </w:num>
  <w:num w:numId="16">
    <w:abstractNumId w:val="7"/>
    <w:lvlOverride w:ilvl="0">
      <w:startOverride w:val="1"/>
    </w:lvlOverride>
  </w:num>
  <w:num w:numId="17">
    <w:abstractNumId w:val="13"/>
    <w:lvlOverride w:ilvl="0">
      <w:startOverride w:val="1"/>
    </w:lvlOverride>
  </w:num>
  <w:num w:numId="18">
    <w:abstractNumId w:val="6"/>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351BC"/>
    <w:rsid w:val="00A24CFE"/>
    <w:rsid w:val="00B07C63"/>
    <w:rsid w:val="00B351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E9754-D927-4275-A81D-6E5C863E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0221">
    <w:name w:val="0221"/>
    <w:basedOn w:val="Standard"/>
    <w:pPr>
      <w:widowControl/>
      <w:spacing w:before="280" w:after="280"/>
    </w:pPr>
    <w:rPr>
      <w:rFonts w:ascii="新細明體" w:hAnsi="新細明體" w:cs="新細明體"/>
      <w:kern w:val="0"/>
      <w:szCs w:val="24"/>
    </w:rPr>
  </w:style>
  <w:style w:type="paragraph" w:customStyle="1" w:styleId="1">
    <w:name w:val="清單段落1"/>
    <w:basedOn w:val="Standard"/>
    <w:pPr>
      <w:ind w:left="480"/>
    </w:pPr>
    <w:rPr>
      <w:rFonts w:cs="Calibri"/>
      <w:szCs w:val="24"/>
    </w:rPr>
  </w:style>
  <w:style w:type="paragraph" w:styleId="3">
    <w:name w:val="Body Text Indent 3"/>
    <w:basedOn w:val="Standard"/>
    <w:pPr>
      <w:snapToGrid w:val="0"/>
      <w:ind w:left="1134" w:hanging="567"/>
      <w:jc w:val="both"/>
    </w:pPr>
    <w:rPr>
      <w:rFonts w:ascii="標楷體" w:eastAsia="標楷體" w:hAnsi="標楷體" w:cs="Times New Roman"/>
      <w:sz w:val="28"/>
      <w:szCs w:val="20"/>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character" w:customStyle="1" w:styleId="30">
    <w:name w:val="本文縮排 3 字元"/>
    <w:basedOn w:val="a0"/>
    <w:rPr>
      <w:rFonts w:ascii="標楷體" w:eastAsia="標楷體" w:hAnsi="標楷體" w:cs="Times New Roman"/>
      <w:sz w:val="28"/>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許筱君</dc:creator>
  <cp:lastModifiedBy>USER</cp:lastModifiedBy>
  <cp:revision>2</cp:revision>
  <dcterms:created xsi:type="dcterms:W3CDTF">2018-05-22T04:30:00Z</dcterms:created>
  <dcterms:modified xsi:type="dcterms:W3CDTF">2018-05-22T04:30:00Z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